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FD" w:rsidRDefault="003919FE" w:rsidP="006802FD">
      <w:pPr>
        <w:jc w:val="right"/>
        <w:rPr>
          <w:rFonts w:ascii="Sylfaen" w:hAnsi="Sylfaen" w:cs="Sylfaen"/>
        </w:rPr>
      </w:pPr>
      <w:bookmarkStart w:id="0" w:name="_Toc501575869"/>
      <w:r>
        <w:rPr>
          <w:rFonts w:ascii="Sylfaen" w:hAnsi="Sylfaen" w:cs="Sylfaen"/>
        </w:rPr>
        <w:softHyphen/>
      </w:r>
      <w:r>
        <w:rPr>
          <w:rFonts w:ascii="Sylfaen" w:hAnsi="Sylfaen" w:cs="Sylfaen"/>
        </w:rPr>
        <w:softHyphen/>
      </w:r>
      <w:r>
        <w:rPr>
          <w:rFonts w:ascii="Sylfaen" w:hAnsi="Sylfaen" w:cs="Sylfaen"/>
        </w:rPr>
        <w:softHyphen/>
      </w:r>
      <w:r w:rsidR="006802FD" w:rsidRPr="006802FD">
        <w:rPr>
          <w:rFonts w:ascii="Sylfaen" w:hAnsi="Sylfaen" w:cs="Sylfaen"/>
          <w:lang w:val="ka-GE"/>
        </w:rPr>
        <w:t>დანართი</w:t>
      </w:r>
      <w:r w:rsidR="005A5194">
        <w:rPr>
          <w:rFonts w:ascii="Sylfaen" w:hAnsi="Sylfaen" w:cs="Sylfaen"/>
          <w:lang w:val="ka-GE"/>
        </w:rPr>
        <w:t xml:space="preserve"> N</w:t>
      </w:r>
      <w:r w:rsidR="005A5194">
        <w:rPr>
          <w:rFonts w:ascii="Sylfaen" w:hAnsi="Sylfaen" w:cs="Sylfaen"/>
        </w:rPr>
        <w:t>7</w:t>
      </w:r>
    </w:p>
    <w:p w:rsidR="00FE7E9C" w:rsidRDefault="00FE7E9C" w:rsidP="00FE7E9C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FE7E9C" w:rsidRDefault="00FE7E9C" w:rsidP="00FE7E9C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FE7E9C" w:rsidRDefault="00FE7E9C" w:rsidP="00FE7E9C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FE7E9C" w:rsidRPr="00603ACE" w:rsidRDefault="00FE7E9C" w:rsidP="00FE7E9C">
      <w:pPr>
        <w:jc w:val="center"/>
        <w:rPr>
          <w:b/>
          <w:color w:val="365F91"/>
          <w:sz w:val="48"/>
          <w:szCs w:val="48"/>
          <w:lang w:val="ka-GE"/>
        </w:rPr>
      </w:pPr>
      <w:r w:rsidRPr="00603ACE">
        <w:rPr>
          <w:rFonts w:ascii="Sylfaen" w:hAnsi="Sylfaen" w:cs="Sylfaen"/>
          <w:b/>
          <w:color w:val="365F91"/>
          <w:sz w:val="48"/>
          <w:szCs w:val="48"/>
          <w:lang w:val="ka-GE"/>
        </w:rPr>
        <w:t>ლატენტური ტუბერკულოზური ინფექციის გამოვლენა და მკურნალობა</w:t>
      </w:r>
    </w:p>
    <w:p w:rsidR="00FE7E9C" w:rsidRDefault="00FE7E9C" w:rsidP="00FE7E9C">
      <w:pPr>
        <w:jc w:val="center"/>
        <w:rPr>
          <w:rFonts w:ascii="Sylfaen" w:hAnsi="Sylfaen"/>
          <w:b/>
          <w:color w:val="1F497D" w:themeColor="text2"/>
          <w:sz w:val="40"/>
          <w:szCs w:val="40"/>
        </w:rPr>
      </w:pPr>
      <w:bookmarkStart w:id="1" w:name="_GoBack"/>
      <w:bookmarkEnd w:id="1"/>
    </w:p>
    <w:p w:rsidR="00FE7E9C" w:rsidRDefault="00FE7E9C" w:rsidP="00FE7E9C">
      <w:pPr>
        <w:jc w:val="center"/>
        <w:rPr>
          <w:rFonts w:ascii="Sylfaen" w:hAnsi="Sylfaen"/>
          <w:b/>
          <w:color w:val="1F497D" w:themeColor="text2"/>
          <w:sz w:val="40"/>
          <w:szCs w:val="40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b/>
          <w:color w:val="1F497D" w:themeColor="text2"/>
          <w:sz w:val="40"/>
          <w:szCs w:val="40"/>
          <w:lang w:val="ka-GE"/>
        </w:rPr>
      </w:pPr>
    </w:p>
    <w:p w:rsidR="00FE7E9C" w:rsidRPr="00FE7E9C" w:rsidRDefault="00FE7E9C" w:rsidP="00FE7E9C">
      <w:pPr>
        <w:jc w:val="center"/>
        <w:rPr>
          <w:rFonts w:ascii="Sylfaen" w:hAnsi="Sylfaen"/>
          <w:b/>
          <w:color w:val="1F497D" w:themeColor="text2"/>
          <w:sz w:val="40"/>
          <w:szCs w:val="40"/>
          <w:lang w:val="ka-GE"/>
        </w:rPr>
      </w:pPr>
    </w:p>
    <w:p w:rsidR="00FE7E9C" w:rsidRPr="00A10B8E" w:rsidRDefault="00FE7E9C" w:rsidP="00FE7E9C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  <w:r w:rsidRPr="00A10B8E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3618283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</w:rPr>
      </w:sdtEndPr>
      <w:sdtContent>
        <w:p w:rsidR="00FE7E9C" w:rsidRPr="00C73426" w:rsidRDefault="00FE7E9C" w:rsidP="00FE7E9C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:rsidR="00FE7E9C" w:rsidRDefault="000230B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FE7E9C">
            <w:instrText xml:space="preserve"> TOC \o "1-3" \h \z \u </w:instrText>
          </w:r>
          <w:r>
            <w:fldChar w:fldCharType="separate"/>
          </w:r>
          <w:hyperlink w:anchor="_Toc501678955" w:history="1">
            <w:r w:rsidR="00FE7E9C" w:rsidRPr="008E054F">
              <w:rPr>
                <w:rStyle w:val="Hyperlink"/>
                <w:noProof/>
              </w:rPr>
              <w:t>1.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დასახელება</w:t>
            </w:r>
            <w:r w:rsidR="00FE7E9C" w:rsidRPr="008E054F">
              <w:rPr>
                <w:rStyle w:val="Hyperlink"/>
                <w:noProof/>
              </w:rPr>
              <w:t xml:space="preserve">: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ლატენტური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ტუბერკულოზური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ინფექციის</w:t>
            </w:r>
            <w:r w:rsidR="00FE7E9C" w:rsidRPr="008E054F">
              <w:rPr>
                <w:rStyle w:val="Hyperlink"/>
                <w:noProof/>
              </w:rPr>
              <w:t xml:space="preserve"> (LTBI)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გამოვლენა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მკურნალობა</w:t>
            </w:r>
            <w:r w:rsidR="00FE7E9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56" w:history="1">
            <w:r w:rsidR="00FE7E9C" w:rsidRPr="008E054F">
              <w:rPr>
                <w:rStyle w:val="Hyperlink"/>
                <w:noProof/>
              </w:rPr>
              <w:t>2.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პროტოკოლით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მოცული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კლინიკური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მდგომარეობები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ჩარევები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_Toc501678956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57" w:history="1">
            <w:r w:rsidR="00FE7E9C" w:rsidRPr="008E054F">
              <w:rPr>
                <w:rStyle w:val="Hyperlink"/>
                <w:noProof/>
              </w:rPr>
              <w:t>3.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შემუშავების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მეთოდოლოგია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_Toc501678957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58" w:history="1">
            <w:r w:rsidR="00FE7E9C" w:rsidRPr="008E054F">
              <w:rPr>
                <w:rStyle w:val="Hyperlink"/>
                <w:noProof/>
              </w:rPr>
              <w:t>4.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მიზანი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_Toc501678958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59" w:history="1">
            <w:r w:rsidR="00FE7E9C" w:rsidRPr="008E054F">
              <w:rPr>
                <w:rStyle w:val="Hyperlink"/>
                <w:noProof/>
              </w:rPr>
              <w:t>5.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სამიზნე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ჯგუფი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_Toc501678959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0" w:history="1">
            <w:r w:rsidR="00FE7E9C" w:rsidRPr="008E054F">
              <w:rPr>
                <w:rStyle w:val="Hyperlink"/>
                <w:noProof/>
              </w:rPr>
              <w:t>6.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ვისთვის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არის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განკუთვნილი</w:t>
            </w:r>
            <w:r w:rsidR="00FE7E9C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_Toc501678960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1" w:history="1">
            <w:r w:rsidR="00FE7E9C" w:rsidRPr="008E054F">
              <w:rPr>
                <w:rStyle w:val="Hyperlink"/>
                <w:noProof/>
              </w:rPr>
              <w:t>7.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სამედიცინო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დაწესებულებაში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გამოყენების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პირობები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_Toc501678961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2" w:history="1">
            <w:r w:rsidR="00FE7E9C" w:rsidRPr="008E054F">
              <w:rPr>
                <w:rStyle w:val="Hyperlink"/>
                <w:noProof/>
              </w:rPr>
              <w:t>8.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რეკომენდაციები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_Toc501678962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3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3" w:history="1">
            <w:r w:rsidR="00FE7E9C" w:rsidRPr="008E054F">
              <w:rPr>
                <w:rStyle w:val="Hyperlink"/>
                <w:noProof/>
              </w:rPr>
              <w:t>9.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მოსალოდნელი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შედეგები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_Toc501678963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4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4" w:history="1">
            <w:r w:rsidR="00FE7E9C" w:rsidRPr="008E054F">
              <w:rPr>
                <w:rStyle w:val="Hyperlink"/>
                <w:noProof/>
              </w:rPr>
              <w:t>10.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აუდიტის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კრიტერიუმები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_Toc501678964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4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5" w:history="1">
            <w:r w:rsidR="00FE7E9C" w:rsidRPr="008E054F">
              <w:rPr>
                <w:rStyle w:val="Hyperlink"/>
                <w:noProof/>
              </w:rPr>
              <w:t>11.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გადახედვის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ვადები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_Toc501678965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5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6" w:history="1">
            <w:r w:rsidR="00FE7E9C" w:rsidRPr="008E054F">
              <w:rPr>
                <w:rStyle w:val="Hyperlink"/>
                <w:noProof/>
              </w:rPr>
              <w:t>12.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დანერგვისთვის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საჭირო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რესურსი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_Toc501678966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5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7" w:history="1">
            <w:r w:rsidR="00FE7E9C" w:rsidRPr="008E054F">
              <w:rPr>
                <w:rStyle w:val="Hyperlink"/>
                <w:noProof/>
              </w:rPr>
              <w:t>13.</w:t>
            </w:r>
            <w:r w:rsidR="00FE7E9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რეკომენდაციები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ადგილობრივ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დონეზე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FE7E9C" w:rsidRPr="008E054F">
              <w:rPr>
                <w:rStyle w:val="Hyperlink"/>
                <w:noProof/>
              </w:rPr>
              <w:t xml:space="preserve"> </w:t>
            </w:r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ადაპტირებისთვის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_Toc501678967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5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5731A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78968" w:history="1">
            <w:r w:rsidR="00FE7E9C" w:rsidRPr="008E054F">
              <w:rPr>
                <w:rStyle w:val="Hyperlink"/>
                <w:rFonts w:ascii="Sylfaen" w:hAnsi="Sylfaen" w:cs="Sylfaen"/>
                <w:noProof/>
              </w:rPr>
              <w:t>დანართი</w:t>
            </w:r>
            <w:r w:rsidR="00FE7E9C" w:rsidRPr="008E054F">
              <w:rPr>
                <w:rStyle w:val="Hyperlink"/>
                <w:noProof/>
              </w:rPr>
              <w:t xml:space="preserve"> № 1</w:t>
            </w:r>
            <w:r w:rsidR="00FE7E9C">
              <w:rPr>
                <w:noProof/>
                <w:webHidden/>
              </w:rPr>
              <w:tab/>
            </w:r>
            <w:r w:rsidR="000230B9">
              <w:rPr>
                <w:noProof/>
                <w:webHidden/>
              </w:rPr>
              <w:fldChar w:fldCharType="begin"/>
            </w:r>
            <w:r w:rsidR="00FE7E9C">
              <w:rPr>
                <w:noProof/>
                <w:webHidden/>
              </w:rPr>
              <w:instrText xml:space="preserve"> PAGEREF _Toc501678968 \h </w:instrText>
            </w:r>
            <w:r w:rsidR="000230B9">
              <w:rPr>
                <w:noProof/>
                <w:webHidden/>
              </w:rPr>
            </w:r>
            <w:r w:rsidR="000230B9">
              <w:rPr>
                <w:noProof/>
                <w:webHidden/>
              </w:rPr>
              <w:fldChar w:fldCharType="separate"/>
            </w:r>
            <w:r w:rsidR="00FE7E9C">
              <w:rPr>
                <w:noProof/>
                <w:webHidden/>
              </w:rPr>
              <w:t>5</w:t>
            </w:r>
            <w:r w:rsidR="000230B9">
              <w:rPr>
                <w:noProof/>
                <w:webHidden/>
              </w:rPr>
              <w:fldChar w:fldCharType="end"/>
            </w:r>
          </w:hyperlink>
        </w:p>
        <w:p w:rsidR="00FE7E9C" w:rsidRDefault="000230B9" w:rsidP="00FE7E9C">
          <w:r>
            <w:rPr>
              <w:b/>
              <w:bCs/>
              <w:noProof/>
            </w:rPr>
            <w:fldChar w:fldCharType="end"/>
          </w:r>
        </w:p>
      </w:sdtContent>
    </w:sdt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Default="00FE7E9C" w:rsidP="00FE7E9C">
      <w:pPr>
        <w:jc w:val="center"/>
        <w:rPr>
          <w:rFonts w:ascii="Sylfaen" w:hAnsi="Sylfaen"/>
          <w:lang w:val="ka-GE"/>
        </w:rPr>
      </w:pPr>
    </w:p>
    <w:p w:rsidR="00FE7E9C" w:rsidRPr="006732EA" w:rsidRDefault="00FE7E9C" w:rsidP="00FE7E9C">
      <w:pPr>
        <w:pStyle w:val="heading111"/>
        <w:jc w:val="both"/>
      </w:pPr>
      <w:bookmarkStart w:id="2" w:name="_Toc501678955"/>
      <w:r w:rsidRPr="006732EA">
        <w:lastRenderedPageBreak/>
        <w:t>პროტოკოლის დასახელება: ლატენტური ტუბერკულოზური ინფექციის (LTBI) გამოვლენა და მკურნალობა</w:t>
      </w:r>
      <w:bookmarkEnd w:id="2"/>
    </w:p>
    <w:p w:rsidR="00FE7E9C" w:rsidRPr="00A72BAF" w:rsidRDefault="00FE7E9C" w:rsidP="00FE7E9C">
      <w:pPr>
        <w:pStyle w:val="heading111"/>
      </w:pPr>
      <w:bookmarkStart w:id="3" w:name="_Toc501678956"/>
      <w:r>
        <w:t>პროტოკოლით მოცული კლინიკური მდგომარეობები და ჩარევები</w:t>
      </w:r>
      <w:bookmarkEnd w:id="3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FE7E9C" w:rsidRPr="00C51154" w:rsidTr="009B2461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FE7E9C" w:rsidRPr="00C51154" w:rsidRDefault="00FE7E9C" w:rsidP="009B2461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FE7E9C" w:rsidRPr="00C51154" w:rsidRDefault="00FE7E9C" w:rsidP="009B2461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FE7E9C" w:rsidRPr="00C51154" w:rsidRDefault="00FE7E9C" w:rsidP="009B2461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FE7E9C" w:rsidRPr="00C51154" w:rsidTr="009B2461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E7E9C" w:rsidRPr="00C51154" w:rsidRDefault="00FE7E9C" w:rsidP="009B2461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FE7E9C" w:rsidRPr="00C51154" w:rsidRDefault="00FE7E9C" w:rsidP="009B2461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ლატენტური ტუბერკულოზური ინფექცია </w:t>
            </w:r>
            <w:r>
              <w:rPr>
                <w:rFonts w:ascii="Sylfaen" w:hAnsi="Sylfaen"/>
              </w:rPr>
              <w:t>(LTBI)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7E9C" w:rsidRPr="00A72A76" w:rsidRDefault="00FE7E9C" w:rsidP="009B246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FE7E9C" w:rsidRPr="00C51154" w:rsidTr="009B2461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E7E9C" w:rsidRPr="00C51154" w:rsidRDefault="00FE7E9C" w:rsidP="009B2461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FE7E9C" w:rsidRPr="00C51154" w:rsidRDefault="00FE7E9C" w:rsidP="009B2461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ტუბერკულოზის პრევენციული მკურნალობა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7E9C" w:rsidRPr="00A72A76" w:rsidRDefault="00FE7E9C" w:rsidP="009B246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</w:tbl>
    <w:p w:rsidR="00FE7E9C" w:rsidRPr="00A72BAF" w:rsidRDefault="00FE7E9C" w:rsidP="00FE7E9C">
      <w:pPr>
        <w:pStyle w:val="heading111"/>
      </w:pPr>
      <w:bookmarkStart w:id="4" w:name="_Toc501678957"/>
      <w:r>
        <w:t>პროტოკოლის შემუშავების მეთოდოლოგია</w:t>
      </w:r>
      <w:bookmarkEnd w:id="4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შემუშავებულია</w:t>
      </w:r>
      <w:proofErr w:type="spellEnd"/>
      <w:r w:rsidR="00B473B6">
        <w:rPr>
          <w:rFonts w:ascii="Sylfaen" w:hAnsi="Sylfaen"/>
          <w:lang w:val="ka-GE"/>
        </w:rPr>
        <w:t xml:space="preserve"> 201</w:t>
      </w:r>
      <w:r w:rsidR="00B473B6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FE7E9C" w:rsidRPr="006D73D7" w:rsidRDefault="00FE7E9C" w:rsidP="00FE7E9C">
      <w:pPr>
        <w:pStyle w:val="heading111"/>
      </w:pPr>
      <w:bookmarkStart w:id="5" w:name="_Toc501678958"/>
      <w:r w:rsidRPr="00A72BAF">
        <w:t>პროტოკოლის მიზანი</w:t>
      </w:r>
      <w:bookmarkEnd w:id="5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 w:rsidRPr="00880ADE"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მიზანი</w:t>
      </w:r>
      <w:proofErr w:type="spellEnd"/>
      <w:r>
        <w:rPr>
          <w:rFonts w:ascii="Sylfaen" w:hAnsi="Sylfaen"/>
          <w:lang w:val="ka-GE"/>
        </w:rPr>
        <w:t xml:space="preserve"> სამიზნე ჯგუფებში ლატენტური ტუბერკულოზური ინფექციის დროული გამოვლენა და მკურნალობის გაუმჯობესებაა. </w:t>
      </w:r>
    </w:p>
    <w:p w:rsidR="00FE7E9C" w:rsidRPr="006D73D7" w:rsidRDefault="00FE7E9C" w:rsidP="00FE7E9C">
      <w:pPr>
        <w:pStyle w:val="heading111"/>
      </w:pPr>
      <w:bookmarkStart w:id="6" w:name="_Toc501678959"/>
      <w:r w:rsidRPr="006D73D7">
        <w:t>სამიზნე ჯგუფი</w:t>
      </w:r>
      <w:bookmarkEnd w:id="6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რეკომენდაციები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ეხება</w:t>
      </w:r>
      <w:proofErr w:type="spellEnd"/>
      <w:r>
        <w:rPr>
          <w:rFonts w:ascii="Sylfaen" w:hAnsi="Sylfaen"/>
          <w:lang w:val="ka-GE"/>
        </w:rPr>
        <w:t xml:space="preserve"> ლატენტური ტუბერკულოზური ინფექციის რისკის მქონე ყველა ასაკობრივი ჯგუფის პირს. </w:t>
      </w:r>
    </w:p>
    <w:p w:rsidR="00FE7E9C" w:rsidRPr="006D73D7" w:rsidRDefault="00FE7E9C" w:rsidP="00FE7E9C">
      <w:pPr>
        <w:pStyle w:val="heading111"/>
      </w:pPr>
      <w:bookmarkStart w:id="7" w:name="_Toc501678960"/>
      <w:r w:rsidRPr="006D73D7">
        <w:t>ვისთვის არის განკუთვნილი</w:t>
      </w:r>
      <w:r>
        <w:t xml:space="preserve"> </w:t>
      </w:r>
      <w:r w:rsidRPr="006D73D7">
        <w:t>პროტოკოლი</w:t>
      </w:r>
      <w:bookmarkEnd w:id="7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სპეციალისტის პროფესიული კომპეტენციების ფარგლებში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იზიატრების, ეპიდემიოლოგების, პულმონოლოგების, ინფექციონისტების, თერაპევტებისა და ოჯახის ექიმებისთვის.</w:t>
      </w:r>
    </w:p>
    <w:p w:rsidR="00FE7E9C" w:rsidRPr="006D73D7" w:rsidRDefault="00FE7E9C" w:rsidP="00FE7E9C">
      <w:pPr>
        <w:pStyle w:val="heading111"/>
      </w:pPr>
      <w:bookmarkStart w:id="8" w:name="_Toc501678961"/>
      <w:r w:rsidRPr="006D73D7">
        <w:t>სამედიცინო დაწესებულებაში პროტოკოლის გამოყენების პირობები</w:t>
      </w:r>
      <w:bookmarkEnd w:id="8"/>
    </w:p>
    <w:p w:rsidR="00FE7E9C" w:rsidRPr="00FD5316" w:rsidRDefault="00FE7E9C" w:rsidP="00FE7E9C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17146D">
        <w:rPr>
          <w:rFonts w:ascii="Sylfaen" w:hAnsi="Sylfaen"/>
          <w:lang w:val="ka-GE"/>
        </w:rPr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ჯანდაცვის სისტემის ყველა დონეს პირველადი ჯანდაცვის დაწესებულებებიდან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 xml:space="preserve">ის ჩათვლით, მათ შორის - ჯანმრთელობის ეროვნული ცენტრის ეპიდსამსახურებს. </w:t>
      </w:r>
    </w:p>
    <w:p w:rsidR="00FE7E9C" w:rsidRPr="00FE7E9C" w:rsidRDefault="00FE7E9C" w:rsidP="00FE7E9C">
      <w:pPr>
        <w:pStyle w:val="heading111"/>
      </w:pPr>
      <w:bookmarkStart w:id="9" w:name="_Toc501678962"/>
      <w:r>
        <w:t>რეკომენდაციებ</w:t>
      </w:r>
      <w:r>
        <w:rPr>
          <w:lang w:val="en-US"/>
        </w:rPr>
        <w:t>ი</w:t>
      </w:r>
      <w:bookmarkEnd w:id="9"/>
    </w:p>
    <w:bookmarkEnd w:id="0"/>
    <w:p w:rsidR="006802FD" w:rsidRDefault="006802FD" w:rsidP="00FE7E9C">
      <w:pPr>
        <w:tabs>
          <w:tab w:val="left" w:pos="8550"/>
        </w:tabs>
        <w:spacing w:before="120" w:after="120"/>
        <w:jc w:val="both"/>
        <w:rPr>
          <w:rFonts w:ascii="Sylfaen" w:hAnsi="Sylfaen" w:cs="Sylfaen"/>
        </w:rPr>
      </w:pPr>
      <w:r w:rsidRPr="00CB15E8">
        <w:rPr>
          <w:rFonts w:ascii="Sylfaen" w:hAnsi="Sylfaen" w:cs="Sylfaen"/>
          <w:lang w:val="ka-GE"/>
        </w:rPr>
        <w:t xml:space="preserve">ლატენტური </w:t>
      </w:r>
      <w:r>
        <w:rPr>
          <w:rFonts w:ascii="Sylfaen" w:hAnsi="Sylfaen" w:cs="Sylfaen"/>
          <w:lang w:val="ka-GE"/>
        </w:rPr>
        <w:t>ტუბერკულოზური ინფექცია ტუბერკულოზის</w:t>
      </w:r>
      <w:r w:rsidRPr="00CB15E8">
        <w:rPr>
          <w:rFonts w:ascii="Sylfaen" w:hAnsi="Sylfaen" w:cs="Sylfaen"/>
          <w:lang w:val="ka-GE"/>
        </w:rPr>
        <w:t xml:space="preserve"> გამომწვევთან ექსპოზიციის შედეგია და </w:t>
      </w:r>
      <w:r>
        <w:rPr>
          <w:rFonts w:ascii="Sylfaen" w:hAnsi="Sylfaen" w:cs="Sylfaen"/>
          <w:lang w:val="ka-GE"/>
        </w:rPr>
        <w:t>უსიმპტომო</w:t>
      </w:r>
      <w:r w:rsidRPr="00CB15E8">
        <w:rPr>
          <w:rFonts w:ascii="Sylfaen" w:hAnsi="Sylfaen" w:cs="Sylfaen"/>
          <w:lang w:val="ka-GE"/>
        </w:rPr>
        <w:t xml:space="preserve"> მიმდინარეობ</w:t>
      </w:r>
      <w:r>
        <w:rPr>
          <w:rFonts w:ascii="Sylfaen" w:hAnsi="Sylfaen" w:cs="Sylfaen"/>
          <w:lang w:val="ka-GE"/>
        </w:rPr>
        <w:t>ა</w:t>
      </w:r>
      <w:r w:rsidRPr="00CB15E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</w:t>
      </w:r>
      <w:r w:rsidRPr="00CB15E8">
        <w:rPr>
          <w:rFonts w:ascii="Sylfaen" w:hAnsi="Sylfaen" w:cs="Sylfaen"/>
          <w:lang w:val="ka-GE"/>
        </w:rPr>
        <w:t>ხასიათ</w:t>
      </w:r>
      <w:r>
        <w:rPr>
          <w:rFonts w:ascii="Sylfaen" w:hAnsi="Sylfaen" w:cs="Sylfaen"/>
          <w:lang w:val="ka-GE"/>
        </w:rPr>
        <w:t>ებს</w:t>
      </w:r>
      <w:r w:rsidRPr="00CB15E8">
        <w:rPr>
          <w:rFonts w:ascii="Sylfaen" w:hAnsi="Sylfaen" w:cs="Sylfaen"/>
          <w:lang w:val="ka-GE"/>
        </w:rPr>
        <w:t>. ლატენტური ტუბერკულოზ</w:t>
      </w:r>
      <w:r>
        <w:rPr>
          <w:rFonts w:ascii="Sylfaen" w:hAnsi="Sylfaen" w:cs="Sylfaen"/>
          <w:lang w:val="ka-GE"/>
        </w:rPr>
        <w:t>ური ინფექცი</w:t>
      </w:r>
      <w:r w:rsidRPr="00CB15E8">
        <w:rPr>
          <w:rFonts w:ascii="Sylfaen" w:hAnsi="Sylfaen" w:cs="Sylfaen"/>
          <w:lang w:val="ka-GE"/>
        </w:rPr>
        <w:t xml:space="preserve">ის მქონე ინდივიდთა 10-15%-ს სიცოცხლის რომელიმე მონაკვეთში შესაძლოა </w:t>
      </w:r>
      <w:r w:rsidRPr="00CB15E8">
        <w:rPr>
          <w:rFonts w:ascii="Sylfaen" w:hAnsi="Sylfaen" w:cs="Sylfaen"/>
          <w:lang w:val="ka-GE"/>
        </w:rPr>
        <w:lastRenderedPageBreak/>
        <w:t>განუვითარდეს</w:t>
      </w:r>
      <w:r>
        <w:rPr>
          <w:rFonts w:ascii="Sylfaen" w:hAnsi="Sylfaen" w:cs="Sylfaen"/>
          <w:lang w:val="ka-GE"/>
        </w:rPr>
        <w:t xml:space="preserve"> </w:t>
      </w:r>
      <w:r w:rsidRPr="00CB15E8">
        <w:rPr>
          <w:rFonts w:ascii="Sylfaen" w:hAnsi="Sylfaen" w:cs="Sylfaen"/>
          <w:lang w:val="ka-GE"/>
        </w:rPr>
        <w:t>აქტიური დაავადება. რისკი იზრდება</w:t>
      </w:r>
      <w:r>
        <w:rPr>
          <w:rFonts w:ascii="Sylfaen" w:hAnsi="Sylfaen" w:cs="Sylfaen"/>
          <w:lang w:val="ka-GE"/>
        </w:rPr>
        <w:t xml:space="preserve"> </w:t>
      </w:r>
      <w:r w:rsidRPr="00CB15E8">
        <w:rPr>
          <w:rFonts w:ascii="Sylfaen" w:hAnsi="Sylfaen" w:cs="Sylfaen"/>
          <w:lang w:val="ka-GE"/>
        </w:rPr>
        <w:t>იმუნოკომპრომისული დაავადების</w:t>
      </w:r>
      <w:r>
        <w:rPr>
          <w:rFonts w:ascii="Sylfaen" w:hAnsi="Sylfaen" w:cs="Sylfaen"/>
          <w:lang w:val="ka-GE"/>
        </w:rPr>
        <w:t>/მდგომარეობის</w:t>
      </w:r>
      <w:r w:rsidRPr="00CB15E8">
        <w:rPr>
          <w:rFonts w:ascii="Sylfaen" w:hAnsi="Sylfaen" w:cs="Sylfaen"/>
          <w:lang w:val="ka-GE"/>
        </w:rPr>
        <w:t xml:space="preserve"> თანაარსებობისას. </w:t>
      </w:r>
    </w:p>
    <w:p w:rsidR="00FE7E9C" w:rsidRPr="00FE7E9C" w:rsidRDefault="00FE7E9C" w:rsidP="00FE7E9C">
      <w:pPr>
        <w:tabs>
          <w:tab w:val="left" w:pos="8550"/>
        </w:tabs>
        <w:spacing w:before="120" w:after="120"/>
        <w:jc w:val="both"/>
        <w:rPr>
          <w:rFonts w:ascii="Sylfaen" w:hAnsi="Sylfaen" w:cs="Sylfae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802FD" w:rsidRPr="00CB15E8" w:rsidTr="006802FD">
        <w:trPr>
          <w:trHeight w:val="96"/>
        </w:trPr>
        <w:tc>
          <w:tcPr>
            <w:tcW w:w="9468" w:type="dxa"/>
            <w:shd w:val="clear" w:color="auto" w:fill="1F497D" w:themeFill="text2"/>
          </w:tcPr>
          <w:p w:rsidR="006802FD" w:rsidRPr="006802FD" w:rsidRDefault="006802FD" w:rsidP="006802FD">
            <w:pPr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6802FD">
              <w:rPr>
                <w:rFonts w:ascii="Sylfaen" w:hAnsi="Sylfaen"/>
                <w:b/>
                <w:color w:val="FFFFFF" w:themeColor="background1"/>
                <w:lang w:val="ka-GE"/>
              </w:rPr>
              <w:t>ლატენტური ტუბერკულოზის დიაგნოსტიკის რეკომენდაციები</w:t>
            </w:r>
          </w:p>
        </w:tc>
      </w:tr>
      <w:tr w:rsidR="006802FD" w:rsidRPr="00CB15E8" w:rsidTr="006802FD">
        <w:trPr>
          <w:trHeight w:val="555"/>
        </w:trPr>
        <w:tc>
          <w:tcPr>
            <w:tcW w:w="9468" w:type="dxa"/>
            <w:shd w:val="clear" w:color="auto" w:fill="auto"/>
          </w:tcPr>
          <w:p w:rsidR="006802FD" w:rsidRDefault="006802FD" w:rsidP="00E8447D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ლატენტური ტუბერკულოზის დიაგნოსტიკა კანის ტუბერკულინური სინჯით </w:t>
            </w:r>
            <w:r>
              <w:rPr>
                <w:rFonts w:ascii="Sylfaen" w:hAnsi="Sylfaen"/>
              </w:rPr>
              <w:t xml:space="preserve">(TST) </w:t>
            </w:r>
            <w:r>
              <w:rPr>
                <w:rFonts w:ascii="Sylfaen" w:hAnsi="Sylfaen"/>
                <w:lang w:val="ka-GE"/>
              </w:rPr>
              <w:t xml:space="preserve">დასაჭიროების შემთხვევაში ინტერფერონ-გამა ტესტით </w:t>
            </w:r>
            <w:r>
              <w:rPr>
                <w:rFonts w:ascii="Sylfaen" w:hAnsi="Sylfaen"/>
              </w:rPr>
              <w:t>(IGRA)</w:t>
            </w:r>
            <w:r>
              <w:rPr>
                <w:rFonts w:ascii="Sylfaen" w:hAnsi="Sylfaen"/>
                <w:lang w:val="ka-GE"/>
              </w:rPr>
              <w:t xml:space="preserve"> არის რეკომენდებული. </w:t>
            </w:r>
          </w:p>
        </w:tc>
      </w:tr>
      <w:tr w:rsidR="006802FD" w:rsidRPr="00CB15E8" w:rsidTr="006802FD">
        <w:trPr>
          <w:trHeight w:val="1088"/>
        </w:trPr>
        <w:tc>
          <w:tcPr>
            <w:tcW w:w="9468" w:type="dxa"/>
            <w:shd w:val="clear" w:color="auto" w:fill="auto"/>
          </w:tcPr>
          <w:p w:rsidR="006802FD" w:rsidRDefault="006802FD" w:rsidP="00E8447D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ლატენტური ტუბერკულოზის აქტიური სკრინინგი  ტუბერკულოზით დაავადებულ პირებთან ახლო კონტაქტში მყოფ 5 წლამდე ასაკის ბავშვებთან, აივ ინფიცირებულებთან და სამედიცინო დაწესებულების პერსონალთან უნდა ჩატარდეს.</w:t>
            </w:r>
          </w:p>
        </w:tc>
      </w:tr>
      <w:tr w:rsidR="006802FD" w:rsidRPr="00CB15E8" w:rsidTr="006802FD">
        <w:trPr>
          <w:trHeight w:val="1530"/>
        </w:trPr>
        <w:tc>
          <w:tcPr>
            <w:tcW w:w="9468" w:type="dxa"/>
            <w:shd w:val="clear" w:color="auto" w:fill="auto"/>
          </w:tcPr>
          <w:p w:rsidR="006802FD" w:rsidRPr="00B94E00" w:rsidRDefault="006802FD" w:rsidP="00E8447D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თუ კანის ტუბერკულინური სინჯის </w:t>
            </w:r>
            <w:r>
              <w:rPr>
                <w:rFonts w:ascii="Sylfaen" w:hAnsi="Sylfaen"/>
              </w:rPr>
              <w:t xml:space="preserve">(TST) </w:t>
            </w:r>
            <w:r>
              <w:rPr>
                <w:rFonts w:ascii="Sylfaen" w:hAnsi="Sylfaen"/>
                <w:lang w:val="ka-GE"/>
              </w:rPr>
              <w:t xml:space="preserve">და საჭიროების შემთხვევაში ინტერფერონ-გამა ტესტის </w:t>
            </w:r>
            <w:r>
              <w:rPr>
                <w:rFonts w:ascii="Sylfaen" w:hAnsi="Sylfaen"/>
              </w:rPr>
              <w:t>(IGRA)</w:t>
            </w:r>
            <w:r>
              <w:rPr>
                <w:rFonts w:ascii="Sylfaen" w:hAnsi="Sylfaen"/>
                <w:lang w:val="ka-GE"/>
              </w:rPr>
              <w:t xml:space="preserve"> შედეგი </w:t>
            </w:r>
            <w:r w:rsidRPr="00CB15E8">
              <w:rPr>
                <w:rFonts w:ascii="Sylfaen" w:hAnsi="Sylfaen"/>
                <w:lang w:val="ka-GE"/>
              </w:rPr>
              <w:t>დადებითია</w:t>
            </w:r>
            <w:r>
              <w:rPr>
                <w:rFonts w:ascii="Sylfaen" w:hAnsi="Sylfaen"/>
                <w:lang w:val="ka-GE"/>
              </w:rPr>
              <w:t xml:space="preserve">, პაციენტთან </w:t>
            </w:r>
            <w:r w:rsidRPr="00CB15E8">
              <w:rPr>
                <w:rFonts w:ascii="Sylfaen" w:hAnsi="Sylfaen"/>
                <w:lang w:val="ka-GE"/>
              </w:rPr>
              <w:t xml:space="preserve">უნდა </w:t>
            </w:r>
            <w:proofErr w:type="spellStart"/>
            <w:r>
              <w:rPr>
                <w:rFonts w:ascii="Sylfaen" w:hAnsi="Sylfaen"/>
              </w:rPr>
              <w:t>გამოირიცხოს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აქტიური ტუბერკულოზი და </w:t>
            </w:r>
            <w:r w:rsidRPr="00CB15E8">
              <w:rPr>
                <w:rFonts w:ascii="Sylfaen" w:hAnsi="Sylfaen"/>
                <w:lang w:val="ka-GE"/>
              </w:rPr>
              <w:t xml:space="preserve">განხილულ </w:t>
            </w:r>
            <w:r>
              <w:rPr>
                <w:rFonts w:ascii="Sylfaen" w:hAnsi="Sylfaen"/>
                <w:lang w:val="ka-GE"/>
              </w:rPr>
              <w:t xml:space="preserve">უნდა იქნეს </w:t>
            </w:r>
            <w:r w:rsidRPr="00CB15E8">
              <w:rPr>
                <w:rFonts w:ascii="Sylfaen" w:hAnsi="Sylfaen"/>
                <w:lang w:val="ka-GE"/>
              </w:rPr>
              <w:t>ლატენტური ინფექციის მკურნალობის დაწყების შესაძლებლობა</w:t>
            </w:r>
            <w:r>
              <w:rPr>
                <w:rFonts w:ascii="Sylfaen" w:hAnsi="Sylfaen"/>
                <w:lang w:val="ka-GE"/>
              </w:rPr>
              <w:t xml:space="preserve"> (ბავშვებთან </w:t>
            </w:r>
            <w:r>
              <w:rPr>
                <w:rFonts w:ascii="Sylfaen" w:hAnsi="Sylfaen"/>
              </w:rPr>
              <w:t>TST</w:t>
            </w:r>
            <w:r>
              <w:rPr>
                <w:rFonts w:ascii="Sylfaen" w:hAnsi="Sylfaen"/>
                <w:lang w:val="ka-GE"/>
              </w:rPr>
              <w:t xml:space="preserve">-ის შედეგის ინტერპრეტაციისას გათვალისწინებული უნდა იყოს </w:t>
            </w:r>
            <w:r w:rsidRPr="00CB15E8">
              <w:rPr>
                <w:rFonts w:ascii="Sylfaen" w:hAnsi="Sylfaen"/>
              </w:rPr>
              <w:t>BCG</w:t>
            </w:r>
            <w:r w:rsidRPr="00CB15E8">
              <w:rPr>
                <w:rFonts w:ascii="Sylfaen" w:hAnsi="Sylfaen"/>
                <w:lang w:val="ka-GE"/>
              </w:rPr>
              <w:t xml:space="preserve"> ვაქცინაცი</w:t>
            </w:r>
            <w:r>
              <w:rPr>
                <w:rFonts w:ascii="Sylfaen" w:hAnsi="Sylfaen"/>
                <w:lang w:val="ka-GE"/>
              </w:rPr>
              <w:t xml:space="preserve">ა). </w:t>
            </w:r>
          </w:p>
        </w:tc>
      </w:tr>
      <w:tr w:rsidR="006802FD" w:rsidRPr="00CB15E8" w:rsidTr="006802FD">
        <w:trPr>
          <w:trHeight w:val="121"/>
        </w:trPr>
        <w:tc>
          <w:tcPr>
            <w:tcW w:w="9468" w:type="dxa"/>
            <w:shd w:val="clear" w:color="auto" w:fill="1F497D" w:themeFill="text2"/>
          </w:tcPr>
          <w:p w:rsidR="006802FD" w:rsidRDefault="006802FD" w:rsidP="006802F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6802FD">
              <w:rPr>
                <w:rFonts w:ascii="Sylfaen" w:hAnsi="Sylfaen"/>
                <w:b/>
                <w:color w:val="FFFFFF" w:themeColor="background1"/>
                <w:lang w:val="ka-GE"/>
              </w:rPr>
              <w:t xml:space="preserve">ლატენტური ტუბერკულოზის </w:t>
            </w:r>
            <w:r>
              <w:rPr>
                <w:rFonts w:ascii="Sylfaen" w:hAnsi="Sylfaen"/>
                <w:b/>
                <w:color w:val="FFFFFF" w:themeColor="background1"/>
                <w:lang w:val="ka-GE"/>
              </w:rPr>
              <w:t>მკურნალობის</w:t>
            </w:r>
            <w:r w:rsidRPr="006802FD">
              <w:rPr>
                <w:rFonts w:ascii="Sylfaen" w:hAnsi="Sylfaen"/>
                <w:b/>
                <w:color w:val="FFFFFF" w:themeColor="background1"/>
                <w:lang w:val="ka-GE"/>
              </w:rPr>
              <w:t xml:space="preserve"> რეკომენდაციები</w:t>
            </w:r>
          </w:p>
        </w:tc>
      </w:tr>
      <w:tr w:rsidR="006802FD" w:rsidRPr="00CB15E8" w:rsidTr="006802FD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</w:tblPrEx>
        <w:tc>
          <w:tcPr>
            <w:tcW w:w="9468" w:type="dxa"/>
            <w:shd w:val="clear" w:color="auto" w:fill="auto"/>
          </w:tcPr>
          <w:p w:rsidR="006802FD" w:rsidRPr="00CB15E8" w:rsidRDefault="006802FD" w:rsidP="00E8447D">
            <w:pPr>
              <w:pStyle w:val="Bulletindent2"/>
              <w:numPr>
                <w:ilvl w:val="0"/>
                <w:numId w:val="0"/>
              </w:num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CB15E8">
              <w:rPr>
                <w:rFonts w:ascii="Sylfaen" w:hAnsi="Sylfaen" w:cs="Swiss721BT-Light"/>
                <w:sz w:val="22"/>
                <w:szCs w:val="22"/>
                <w:lang w:val="ka-GE"/>
              </w:rPr>
              <w:t xml:space="preserve">ლატენტური </w:t>
            </w:r>
            <w:r w:rsidRPr="00832003">
              <w:rPr>
                <w:rFonts w:ascii="Sylfaen" w:hAnsi="Sylfaen" w:cs="Swiss721BT-Light"/>
                <w:sz w:val="22"/>
                <w:szCs w:val="22"/>
                <w:lang w:val="ka-GE"/>
              </w:rPr>
              <w:t>ტუბერკულოზური ინფექციის (LTBI) მკურნალობა უნდა ჩაუტარდეთ აივ ინფიცირებულ პირებს და კონტაქტში მყოფ 5 წლამდე ასაკის ბავშვებს, რომლებთანაც შესაბამისი კლინიკური გამოკვლევებით აქტიური ტუბერკულოზი გამოირიცხა და LTBI დადასტურდა.</w:t>
            </w:r>
            <w:r w:rsidRPr="00CB15E8">
              <w:rPr>
                <w:rFonts w:ascii="Sylfaen" w:hAnsi="Sylfaen" w:cs="Swiss721BT-Light"/>
                <w:sz w:val="22"/>
                <w:szCs w:val="22"/>
                <w:lang w:val="ka-GE"/>
              </w:rPr>
              <w:t xml:space="preserve"> </w:t>
            </w:r>
          </w:p>
        </w:tc>
      </w:tr>
      <w:tr w:rsidR="006802FD" w:rsidRPr="00CB15E8" w:rsidTr="006802FD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</w:tblPrEx>
        <w:tc>
          <w:tcPr>
            <w:tcW w:w="9468" w:type="dxa"/>
            <w:shd w:val="clear" w:color="auto" w:fill="auto"/>
          </w:tcPr>
          <w:p w:rsidR="006802FD" w:rsidRPr="000D13BC" w:rsidRDefault="006802FD" w:rsidP="00E84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wiss721BT-Light"/>
                <w:lang w:val="ka-GE"/>
              </w:rPr>
            </w:pPr>
            <w:r w:rsidRPr="00CB15E8">
              <w:rPr>
                <w:rFonts w:ascii="Sylfaen" w:hAnsi="Sylfaen" w:cs="Swiss721BT-Light"/>
                <w:lang w:val="ka-GE"/>
              </w:rPr>
              <w:t>LTBI-ს სამკურნალოდ რეკომენდებულია იზონიაზიდი</w:t>
            </w:r>
            <w:r>
              <w:rPr>
                <w:rFonts w:ascii="Sylfaen" w:hAnsi="Sylfaen" w:cs="Swiss721BT-Light"/>
                <w:lang w:val="ka-GE"/>
              </w:rPr>
              <w:t xml:space="preserve">ს </w:t>
            </w:r>
            <w:r w:rsidRPr="00CB15E8">
              <w:rPr>
                <w:rFonts w:ascii="Sylfaen" w:hAnsi="Sylfaen" w:cs="Swiss721BT-Light"/>
                <w:lang w:val="ka-GE"/>
              </w:rPr>
              <w:t>6</w:t>
            </w:r>
            <w:r>
              <w:rPr>
                <w:rFonts w:ascii="Sylfaen" w:hAnsi="Sylfaen" w:cs="Swiss721BT-Light"/>
                <w:lang w:val="ka-GE"/>
              </w:rPr>
              <w:t>-</w:t>
            </w:r>
            <w:r w:rsidRPr="00CB15E8">
              <w:rPr>
                <w:rFonts w:ascii="Sylfaen" w:hAnsi="Sylfaen" w:cs="Swiss721BT-Light"/>
                <w:lang w:val="ka-GE"/>
              </w:rPr>
              <w:t>თვიანი</w:t>
            </w:r>
            <w:r>
              <w:rPr>
                <w:rFonts w:ascii="Sylfaen" w:hAnsi="Sylfaen" w:cs="Swiss721BT-Light"/>
                <w:lang w:val="ka-GE"/>
              </w:rPr>
              <w:t xml:space="preserve"> რეჟიმი</w:t>
            </w:r>
            <w:r w:rsidRPr="00CB15E8">
              <w:rPr>
                <w:rFonts w:ascii="Sylfaen" w:hAnsi="Sylfaen" w:cs="Swiss721BT-Light"/>
                <w:lang w:val="ka-GE"/>
              </w:rPr>
              <w:t xml:space="preserve">. </w:t>
            </w:r>
          </w:p>
        </w:tc>
      </w:tr>
      <w:tr w:rsidR="006802FD" w:rsidRPr="00CB15E8" w:rsidTr="006802FD">
        <w:tblPrEx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</w:tblPrEx>
        <w:tc>
          <w:tcPr>
            <w:tcW w:w="9468" w:type="dxa"/>
            <w:shd w:val="clear" w:color="auto" w:fill="auto"/>
          </w:tcPr>
          <w:p w:rsidR="006802FD" w:rsidRPr="004B6A50" w:rsidRDefault="006802FD" w:rsidP="00E8447D">
            <w:pPr>
              <w:pStyle w:val="Numberedlevel4text"/>
              <w:spacing w:after="0" w:line="276" w:lineRule="auto"/>
              <w:ind w:left="0" w:firstLine="0"/>
              <w:jc w:val="both"/>
              <w:rPr>
                <w:rFonts w:ascii="Sylfaen" w:hAnsi="Sylfaen" w:cs="Swiss721BT-Roman"/>
                <w:sz w:val="22"/>
                <w:szCs w:val="22"/>
                <w:lang w:val="ka-GE"/>
              </w:rPr>
            </w:pPr>
            <w:r w:rsidRPr="00CB15E8">
              <w:rPr>
                <w:rFonts w:ascii="Sylfaen" w:hAnsi="Sylfaen" w:cs="Swiss721BT-Roman"/>
                <w:sz w:val="22"/>
                <w:szCs w:val="22"/>
                <w:lang w:val="ka-GE"/>
              </w:rPr>
              <w:t>MDR-TB-ს კონტაქტებ</w:t>
            </w:r>
            <w:r>
              <w:rPr>
                <w:rFonts w:ascii="Sylfaen" w:hAnsi="Sylfaen" w:cs="Swiss721BT-Roman"/>
                <w:sz w:val="22"/>
                <w:szCs w:val="22"/>
                <w:lang w:val="ka-GE"/>
              </w:rPr>
              <w:t xml:space="preserve">თან </w:t>
            </w:r>
            <w:r w:rsidRPr="00CB15E8">
              <w:rPr>
                <w:rFonts w:ascii="Sylfaen" w:hAnsi="Sylfaen" w:cs="Swiss721BT-Roman"/>
                <w:sz w:val="22"/>
                <w:szCs w:val="22"/>
                <w:lang w:val="ka-GE"/>
              </w:rPr>
              <w:t xml:space="preserve">ნაჩვენებია მკაცრი კლინიკური დაკვირვება და მონიტორინგი მინიმუმ 2 წლის განმავლობაში, მაგრამ არა </w:t>
            </w:r>
            <w:r>
              <w:rPr>
                <w:rFonts w:ascii="Sylfaen" w:hAnsi="Sylfaen" w:cs="Swiss721BT-Roman"/>
                <w:sz w:val="22"/>
                <w:szCs w:val="22"/>
                <w:lang w:val="ka-GE"/>
              </w:rPr>
              <w:t xml:space="preserve">მათი </w:t>
            </w:r>
            <w:r w:rsidRPr="00CB15E8">
              <w:rPr>
                <w:rFonts w:ascii="Sylfaen" w:hAnsi="Sylfaen" w:cs="Swiss721BT-Roman"/>
                <w:sz w:val="22"/>
                <w:szCs w:val="22"/>
                <w:lang w:val="ka-GE"/>
              </w:rPr>
              <w:t xml:space="preserve">პრევენციული მკურნალობა. </w:t>
            </w:r>
          </w:p>
        </w:tc>
      </w:tr>
    </w:tbl>
    <w:p w:rsidR="00E305D1" w:rsidRDefault="00E305D1">
      <w:pPr>
        <w:rPr>
          <w:rFonts w:ascii="Sylfaen" w:hAnsi="Sylfaen"/>
          <w:lang w:val="ka-GE"/>
        </w:rPr>
      </w:pPr>
    </w:p>
    <w:p w:rsidR="00FE7E9C" w:rsidRPr="00F8208C" w:rsidRDefault="00FE7E9C" w:rsidP="00FE7E9C">
      <w:pPr>
        <w:pStyle w:val="heading111"/>
      </w:pPr>
      <w:bookmarkStart w:id="10" w:name="_Toc501678963"/>
      <w:r>
        <w:t>მოსალოდნელი შედეგები</w:t>
      </w:r>
      <w:bookmarkEnd w:id="10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 შედეგად მოსალოდნელია</w:t>
      </w:r>
      <w:r>
        <w:rPr>
          <w:rFonts w:ascii="Sylfaen" w:hAnsi="Sylfaen"/>
          <w:lang w:val="ka-GE"/>
        </w:rPr>
        <w:t xml:space="preserve"> ლატენტური ტუბერკულოზური ინფექციის მქონე პირებთან აქტიური ტუბერკულოზის განვითარების პრევენცია. </w:t>
      </w:r>
    </w:p>
    <w:p w:rsidR="00FE7E9C" w:rsidRPr="00F8208C" w:rsidRDefault="00FE7E9C" w:rsidP="00FE7E9C">
      <w:pPr>
        <w:pStyle w:val="heading111"/>
      </w:pPr>
      <w:bookmarkStart w:id="11" w:name="_Toc501678964"/>
      <w:r>
        <w:t>აუდიტის კრიტერიუმები</w:t>
      </w:r>
      <w:bookmarkEnd w:id="11"/>
    </w:p>
    <w:p w:rsidR="00FE7E9C" w:rsidRDefault="00FE7E9C" w:rsidP="00FE7E9C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აივ ინფიცირებულთა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ინფიცირებულთა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ვისთანაც გამოვლინდა ლატენტური ტუბერკულოზური ინფექცია;</w:t>
      </w:r>
    </w:p>
    <w:p w:rsidR="00FE7E9C" w:rsidRDefault="00FE7E9C" w:rsidP="00FE7E9C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 წლამდე ასაკის კონტაქტში მყოფი ბავშვების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ბავშვების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 ვისთანაც გამოვლინდა ლატენტური ტუბერკულოზური ინფექცია;</w:t>
      </w:r>
    </w:p>
    <w:p w:rsidR="00FE7E9C" w:rsidRDefault="00FE7E9C" w:rsidP="00FE7E9C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აივ ინფიცირებულთა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ინფიცირებულთა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ჩაუტარდა იზონიაზიდით პრევენციული მკურნალობა;</w:t>
      </w:r>
    </w:p>
    <w:p w:rsidR="00FE7E9C" w:rsidRPr="00A72A76" w:rsidRDefault="00FE7E9C" w:rsidP="00FE7E9C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 წლამდე ასაკის კონტაქტში მყოფი ბავშვების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ბავშვების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ჩაუტარდა იზონიაზიდით პრევენციული მკურნალობა.</w:t>
      </w:r>
    </w:p>
    <w:p w:rsidR="00FE7E9C" w:rsidRDefault="00FE7E9C" w:rsidP="00FE7E9C">
      <w:pPr>
        <w:pStyle w:val="heading111"/>
      </w:pPr>
      <w:r>
        <w:lastRenderedPageBreak/>
        <w:t xml:space="preserve"> </w:t>
      </w:r>
      <w:bookmarkStart w:id="12" w:name="_Toc501678965"/>
      <w:r>
        <w:t>პროტოკოლის გადახედვის ვადები</w:t>
      </w:r>
      <w:bookmarkEnd w:id="12"/>
    </w:p>
    <w:p w:rsidR="00FE7E9C" w:rsidRDefault="00FE7E9C" w:rsidP="00FE7E9C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F8208C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 xml:space="preserve">. </w:t>
      </w:r>
    </w:p>
    <w:p w:rsidR="00FE7E9C" w:rsidRDefault="00FE7E9C" w:rsidP="00FE7E9C">
      <w:pPr>
        <w:pStyle w:val="heading111"/>
      </w:pPr>
      <w:r>
        <w:t xml:space="preserve"> </w:t>
      </w:r>
      <w:bookmarkStart w:id="13" w:name="_Toc501678966"/>
      <w:r>
        <w:t>პროტოკოლის დანერგვისთვის საჭირო რესურსი</w:t>
      </w:r>
      <w:bookmarkEnd w:id="13"/>
    </w:p>
    <w:p w:rsidR="00FE7E9C" w:rsidRPr="00FD5316" w:rsidRDefault="00FE7E9C" w:rsidP="00FE7E9C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</w:t>
      </w:r>
      <w:r>
        <w:rPr>
          <w:rFonts w:ascii="Sylfaen" w:hAnsi="Sylfaen" w:cs="Sylfaen"/>
          <w:szCs w:val="24"/>
          <w:lang w:val="ka-GE"/>
        </w:rPr>
        <w:t>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დანართში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FE7E9C" w:rsidRDefault="00FE7E9C" w:rsidP="00FE7E9C">
      <w:pPr>
        <w:pStyle w:val="heading111"/>
        <w:jc w:val="both"/>
      </w:pPr>
      <w:r>
        <w:t xml:space="preserve"> </w:t>
      </w:r>
      <w:bookmarkStart w:id="14" w:name="_Toc501678967"/>
      <w:r>
        <w:t>რეკომენდაციები ადგილობრივ დონეზე პროტოკოლის ადაპტირებისთვის</w:t>
      </w:r>
      <w:bookmarkEnd w:id="14"/>
    </w:p>
    <w:p w:rsidR="00FE7E9C" w:rsidRPr="009F65F6" w:rsidRDefault="00FE7E9C" w:rsidP="00FE7E9C">
      <w:pPr>
        <w:spacing w:before="240"/>
        <w:jc w:val="both"/>
        <w:rPr>
          <w:rFonts w:ascii="Sylfaen" w:hAnsi="Sylfaen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შესაძლებელია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დაზუსტდეს</w:t>
      </w:r>
      <w:r>
        <w:rPr>
          <w:rFonts w:ascii="Sylfaen" w:hAnsi="Sylfaen"/>
          <w:lang w:val="ka-GE"/>
        </w:rPr>
        <w:t xml:space="preserve"> 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დანართში </w:t>
      </w:r>
      <w:r w:rsidRPr="00FD5316">
        <w:rPr>
          <w:rFonts w:ascii="Sylfaen" w:hAnsi="Sylfaen"/>
          <w:lang w:val="ka-GE"/>
        </w:rPr>
        <w:t>მითითებული ადამიანური</w:t>
      </w:r>
      <w:r>
        <w:rPr>
          <w:rFonts w:ascii="Sylfaen" w:hAnsi="Sylfaen"/>
          <w:lang w:val="ka-GE"/>
        </w:rPr>
        <w:t xml:space="preserve"> და მატერიალურ-ტექნიკური</w:t>
      </w:r>
      <w:r w:rsidRPr="00FD5316">
        <w:rPr>
          <w:rFonts w:ascii="Sylfaen" w:hAnsi="Sylfaen"/>
          <w:lang w:val="ka-GE"/>
        </w:rPr>
        <w:t xml:space="preserve"> რესურს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</w:rPr>
        <w:t>.</w:t>
      </w:r>
    </w:p>
    <w:p w:rsidR="00FE7E9C" w:rsidRPr="00A711AA" w:rsidRDefault="00FE7E9C" w:rsidP="00FE7E9C">
      <w:pPr>
        <w:pStyle w:val="heading111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15" w:name="_Toc501678968"/>
      <w:r w:rsidRPr="00A711AA">
        <w:rPr>
          <w:sz w:val="24"/>
          <w:szCs w:val="24"/>
        </w:rPr>
        <w:t>დანართი № 1</w:t>
      </w:r>
      <w:bookmarkEnd w:id="15"/>
    </w:p>
    <w:p w:rsidR="00FE7E9C" w:rsidRPr="007671F4" w:rsidRDefault="00FE7E9C" w:rsidP="00FE7E9C">
      <w:pPr>
        <w:spacing w:before="24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და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მატერიალურ-ტექნიკური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რესურსი</w:t>
      </w:r>
      <w:proofErr w:type="spellEnd"/>
    </w:p>
    <w:tbl>
      <w:tblPr>
        <w:tblW w:w="968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4253"/>
        <w:gridCol w:w="2268"/>
      </w:tblGrid>
      <w:tr w:rsidR="00FE7E9C" w:rsidRPr="006C31BE" w:rsidTr="009B2461">
        <w:tc>
          <w:tcPr>
            <w:tcW w:w="3168" w:type="dxa"/>
            <w:shd w:val="clear" w:color="auto" w:fill="17365D" w:themeFill="text2" w:themeFillShade="BF"/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  <w:proofErr w:type="spellEnd"/>
          </w:p>
        </w:tc>
        <w:tc>
          <w:tcPr>
            <w:tcW w:w="4253" w:type="dxa"/>
            <w:shd w:val="clear" w:color="auto" w:fill="17365D" w:themeFill="text2" w:themeFillShade="BF"/>
          </w:tcPr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</w:t>
            </w:r>
            <w:proofErr w:type="spellEnd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/</w:t>
            </w: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2268" w:type="dxa"/>
            <w:shd w:val="clear" w:color="auto" w:fill="17365D" w:themeFill="text2" w:themeFillShade="BF"/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FE7E9C" w:rsidRPr="006C31BE" w:rsidTr="009B2461">
        <w:trPr>
          <w:trHeight w:val="250"/>
        </w:trPr>
        <w:tc>
          <w:tcPr>
            <w:tcW w:w="31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  <w:proofErr w:type="spellEnd"/>
          </w:p>
        </w:tc>
        <w:tc>
          <w:tcPr>
            <w:tcW w:w="425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FE7E9C" w:rsidRPr="006C31BE" w:rsidTr="009B2461">
        <w:trPr>
          <w:trHeight w:val="1236"/>
        </w:trPr>
        <w:tc>
          <w:tcPr>
            <w:tcW w:w="3168" w:type="dxa"/>
            <w:tcBorders>
              <w:top w:val="single" w:sz="4" w:space="0" w:color="8DB3E2" w:themeColor="text2" w:themeTint="66"/>
              <w:bottom w:val="single" w:sz="4" w:space="0" w:color="548DD4" w:themeColor="text2" w:themeTint="99"/>
            </w:tcBorders>
          </w:tcPr>
          <w:p w:rsidR="00FE7E9C" w:rsidRDefault="00FE7E9C" w:rsidP="009B2461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  <w:r>
              <w:rPr>
                <w:rFonts w:ascii="Sylfaen" w:hAnsi="Sylfaen"/>
                <w:bCs/>
                <w:lang w:val="ka-GE"/>
              </w:rPr>
              <w:t>;</w:t>
            </w:r>
          </w:p>
          <w:p w:rsidR="00FE7E9C" w:rsidRDefault="00FE7E9C" w:rsidP="009B2461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ინფექციონისტი (აივ/შიდსის მართვის სპეციალისტი);</w:t>
            </w:r>
          </w:p>
          <w:p w:rsidR="00FE7E9C" w:rsidRPr="00B646C8" w:rsidRDefault="00FE7E9C" w:rsidP="009B2461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ეპიდემიოლოგი</w:t>
            </w:r>
          </w:p>
        </w:tc>
        <w:tc>
          <w:tcPr>
            <w:tcW w:w="4253" w:type="dxa"/>
            <w:tcBorders>
              <w:top w:val="single" w:sz="4" w:space="0" w:color="8DB3E2" w:themeColor="text2" w:themeTint="66"/>
              <w:bottom w:val="single" w:sz="4" w:space="0" w:color="548DD4" w:themeColor="text2" w:themeTint="99"/>
            </w:tcBorders>
          </w:tcPr>
          <w:p w:rsidR="00FE7E9C" w:rsidRPr="00D11F52" w:rsidRDefault="00FE7E9C" w:rsidP="009B24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LTBI-ს </w:t>
            </w:r>
            <w:r>
              <w:rPr>
                <w:rFonts w:ascii="Sylfaen" w:hAnsi="Sylfaen"/>
                <w:lang w:val="ka-GE"/>
              </w:rPr>
              <w:t xml:space="preserve">ეპიდზედამხედველობა, </w:t>
            </w:r>
            <w:proofErr w:type="spellStart"/>
            <w:r>
              <w:rPr>
                <w:rFonts w:ascii="Sylfaen" w:hAnsi="Sylfaen"/>
              </w:rPr>
              <w:t>დიაგნოსტიკა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მკურნალობა</w:t>
            </w:r>
            <w:proofErr w:type="spellEnd"/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548DD4" w:themeColor="text2" w:themeTint="99"/>
            </w:tcBorders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FE7E9C" w:rsidRPr="006C31BE" w:rsidTr="009B2461">
        <w:trPr>
          <w:trHeight w:val="397"/>
        </w:trPr>
        <w:tc>
          <w:tcPr>
            <w:tcW w:w="3168" w:type="dxa"/>
            <w:tcBorders>
              <w:top w:val="single" w:sz="4" w:space="0" w:color="548DD4" w:themeColor="text2" w:themeTint="99"/>
              <w:bottom w:val="single" w:sz="4" w:space="0" w:color="8DB3E2" w:themeColor="text2" w:themeTint="66"/>
            </w:tcBorders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მენეჯერი</w:t>
            </w:r>
            <w:proofErr w:type="spellEnd"/>
            <w:r w:rsidRPr="00B646C8">
              <w:rPr>
                <w:rFonts w:ascii="Sylfaen" w:hAnsi="Sylfaen"/>
                <w:bCs/>
                <w:lang w:val="en-GB"/>
              </w:rPr>
              <w:t>/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4253" w:type="dxa"/>
            <w:tcBorders>
              <w:top w:val="single" w:sz="4" w:space="0" w:color="548DD4" w:themeColor="text2" w:themeTint="99"/>
              <w:bottom w:val="single" w:sz="4" w:space="0" w:color="8DB3E2" w:themeColor="text2" w:themeTint="66"/>
            </w:tcBorders>
          </w:tcPr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დანერგვის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ხელშეწყობა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მეთვალყურეობა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აუდიტის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ჩატარება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შედეგების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ანალიზი</w:t>
            </w:r>
            <w:proofErr w:type="spellEnd"/>
          </w:p>
        </w:tc>
        <w:tc>
          <w:tcPr>
            <w:tcW w:w="2268" w:type="dxa"/>
            <w:tcBorders>
              <w:top w:val="single" w:sz="4" w:space="0" w:color="548DD4" w:themeColor="text2" w:themeTint="99"/>
              <w:bottom w:val="single" w:sz="4" w:space="0" w:color="8DB3E2" w:themeColor="text2" w:themeTint="66"/>
            </w:tcBorders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</w:p>
        </w:tc>
      </w:tr>
      <w:tr w:rsidR="00FE7E9C" w:rsidRPr="006C31BE" w:rsidTr="009B2461">
        <w:tc>
          <w:tcPr>
            <w:tcW w:w="3168" w:type="dxa"/>
            <w:shd w:val="clear" w:color="auto" w:fill="C6D9F1" w:themeFill="text2" w:themeFillTint="33"/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მატერიალურ-ტექნიკური</w:t>
            </w:r>
            <w:proofErr w:type="spellEnd"/>
          </w:p>
        </w:tc>
        <w:tc>
          <w:tcPr>
            <w:tcW w:w="4253" w:type="dxa"/>
            <w:shd w:val="clear" w:color="auto" w:fill="C6D9F1" w:themeFill="text2" w:themeFillTint="33"/>
          </w:tcPr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FE7E9C" w:rsidRPr="006C31BE" w:rsidTr="009B2461">
        <w:trPr>
          <w:trHeight w:val="204"/>
        </w:trPr>
        <w:tc>
          <w:tcPr>
            <w:tcW w:w="3168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</w:tcBorders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მანტუს სინჯი</w:t>
            </w:r>
          </w:p>
        </w:tc>
        <w:tc>
          <w:tcPr>
            <w:tcW w:w="4253" w:type="dxa"/>
            <w:tcBorders>
              <w:top w:val="single" w:sz="8" w:space="0" w:color="4F81BD"/>
              <w:bottom w:val="single" w:sz="4" w:space="0" w:color="8DB3E2" w:themeColor="text2" w:themeTint="66"/>
            </w:tcBorders>
          </w:tcPr>
          <w:p w:rsidR="00FE7E9C" w:rsidRPr="007346AD" w:rsidRDefault="00FE7E9C" w:rsidP="009B24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LTBI-ს</w:t>
            </w:r>
            <w:r>
              <w:rPr>
                <w:rFonts w:ascii="Sylfaen" w:hAnsi="Sylfaen"/>
                <w:lang w:val="ka-GE"/>
              </w:rPr>
              <w:t xml:space="preserve"> სკრინინგი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E7E9C" w:rsidRPr="006C31BE" w:rsidTr="009B2461">
        <w:trPr>
          <w:trHeight w:val="102"/>
        </w:trPr>
        <w:tc>
          <w:tcPr>
            <w:tcW w:w="3168" w:type="dxa"/>
            <w:tcBorders>
              <w:top w:val="single" w:sz="4" w:space="0" w:color="8DB3E2" w:themeColor="text2" w:themeTint="66"/>
              <w:left w:val="single" w:sz="8" w:space="0" w:color="4F81BD"/>
              <w:bottom w:val="single" w:sz="8" w:space="0" w:color="4F81BD"/>
            </w:tcBorders>
          </w:tcPr>
          <w:p w:rsidR="00FE7E9C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აქტიური ტუბერკულოზის დიაგნოსტიკისთვის საჭირო ინსტრუმენტულ-ლაბორატორიული კვლევები</w:t>
            </w:r>
          </w:p>
        </w:tc>
        <w:tc>
          <w:tcPr>
            <w:tcW w:w="4253" w:type="dxa"/>
            <w:tcBorders>
              <w:top w:val="single" w:sz="4" w:space="0" w:color="8DB3E2" w:themeColor="text2" w:themeTint="66"/>
              <w:bottom w:val="single" w:sz="8" w:space="0" w:color="4F81BD"/>
            </w:tcBorders>
          </w:tcPr>
          <w:p w:rsidR="00FE7E9C" w:rsidRPr="007346AD" w:rsidRDefault="00FE7E9C" w:rsidP="009B24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აქტიური ტუბერკულოზით ავადობის გამორიცხვა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</w:tcPr>
          <w:p w:rsidR="00FE7E9C" w:rsidRPr="007346AD" w:rsidRDefault="00FE7E9C" w:rsidP="009B24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LTBI-ს</w:t>
            </w:r>
            <w:r>
              <w:rPr>
                <w:rFonts w:ascii="Sylfaen" w:hAnsi="Sylfaen"/>
                <w:lang w:val="ka-GE"/>
              </w:rPr>
              <w:t xml:space="preserve"> მკურნალობის ინიცირებამდე უნდა გამოირიცხოს აქტიური ტუბერკულოზი.</w:t>
            </w:r>
          </w:p>
        </w:tc>
      </w:tr>
      <w:tr w:rsidR="00FE7E9C" w:rsidRPr="006C31BE" w:rsidTr="009B2461">
        <w:tc>
          <w:tcPr>
            <w:tcW w:w="3168" w:type="dxa"/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იზონიაზიდი</w:t>
            </w:r>
          </w:p>
        </w:tc>
        <w:tc>
          <w:tcPr>
            <w:tcW w:w="4253" w:type="dxa"/>
          </w:tcPr>
          <w:p w:rsidR="00FE7E9C" w:rsidRPr="007346AD" w:rsidRDefault="00FE7E9C" w:rsidP="009B24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LTBI-ს</w:t>
            </w:r>
            <w:r>
              <w:rPr>
                <w:rFonts w:ascii="Sylfaen" w:hAnsi="Sylfaen"/>
                <w:lang w:val="ka-GE"/>
              </w:rPr>
              <w:t xml:space="preserve"> პრევენციული მკურნალობა იზონიაზიდის ექვსთვიანი რეჟიმით</w:t>
            </w:r>
          </w:p>
        </w:tc>
        <w:tc>
          <w:tcPr>
            <w:tcW w:w="2268" w:type="dxa"/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E7E9C" w:rsidRPr="006C31BE" w:rsidTr="009B2461">
        <w:tc>
          <w:tcPr>
            <w:tcW w:w="31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E7E9C" w:rsidRPr="00B646C8" w:rsidRDefault="00FE7E9C" w:rsidP="009B2461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proofErr w:type="spellEnd"/>
            <w:r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საგანმანათლებლო</w:t>
            </w:r>
            <w:proofErr w:type="spellEnd"/>
            <w:r>
              <w:rPr>
                <w:rFonts w:ascii="Sylfaen" w:hAnsi="Sylfaen"/>
                <w:bCs/>
                <w:lang w:val="ka-GE"/>
              </w:rPr>
              <w:t xml:space="preserve"> ნაბეჭდი და ელექტრონული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მასალები</w:t>
            </w:r>
            <w:proofErr w:type="spellEnd"/>
          </w:p>
        </w:tc>
        <w:tc>
          <w:tcPr>
            <w:tcW w:w="4253" w:type="dxa"/>
            <w:tcBorders>
              <w:top w:val="single" w:sz="8" w:space="0" w:color="4F81BD"/>
              <w:bottom w:val="single" w:sz="8" w:space="0" w:color="4F81BD"/>
            </w:tcBorders>
          </w:tcPr>
          <w:p w:rsidR="00FE7E9C" w:rsidRPr="006C31BE" w:rsidRDefault="00FE7E9C" w:rsidP="009B2461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პაციენტის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7E9C" w:rsidRPr="006C31BE" w:rsidRDefault="00FE7E9C" w:rsidP="009B2461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FE7E9C" w:rsidRPr="00D71B80" w:rsidRDefault="00FE7E9C">
      <w:pPr>
        <w:rPr>
          <w:rFonts w:ascii="Sylfaen" w:hAnsi="Sylfaen"/>
        </w:rPr>
      </w:pPr>
    </w:p>
    <w:sectPr w:rsidR="00FE7E9C" w:rsidRPr="00D71B80" w:rsidSect="00B2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A9" w:rsidRDefault="005731A9" w:rsidP="006802FD">
      <w:pPr>
        <w:spacing w:after="0" w:line="240" w:lineRule="auto"/>
      </w:pPr>
      <w:r>
        <w:separator/>
      </w:r>
    </w:p>
  </w:endnote>
  <w:endnote w:type="continuationSeparator" w:id="0">
    <w:p w:rsidR="005731A9" w:rsidRDefault="005731A9" w:rsidP="0068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721BT-Light">
    <w:altName w:val="Arial"/>
    <w:panose1 w:val="00000000000000000000"/>
    <w:charset w:val="CC"/>
    <w:family w:val="swiss"/>
    <w:notTrueType/>
    <w:pitch w:val="default"/>
    <w:sig w:usb0="00000003" w:usb1="00000000" w:usb2="00000000" w:usb3="00000000" w:csb0="00000005" w:csb1="00000000"/>
  </w:font>
  <w:font w:name="Swiss721BT-Roman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A9" w:rsidRDefault="005731A9" w:rsidP="006802FD">
      <w:pPr>
        <w:spacing w:after="0" w:line="240" w:lineRule="auto"/>
      </w:pPr>
      <w:r>
        <w:separator/>
      </w:r>
    </w:p>
  </w:footnote>
  <w:footnote w:type="continuationSeparator" w:id="0">
    <w:p w:rsidR="005731A9" w:rsidRDefault="005731A9" w:rsidP="0068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164F0BAF"/>
    <w:multiLevelType w:val="hybridMultilevel"/>
    <w:tmpl w:val="00C614A0"/>
    <w:lvl w:ilvl="0" w:tplc="B5D63FCA">
      <w:start w:val="1"/>
      <w:numFmt w:val="decimal"/>
      <w:pStyle w:val="Heading11"/>
      <w:lvlText w:val="%1."/>
      <w:lvlJc w:val="left"/>
      <w:pPr>
        <w:ind w:left="36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FD"/>
    <w:rsid w:val="000230B9"/>
    <w:rsid w:val="00024C93"/>
    <w:rsid w:val="00030961"/>
    <w:rsid w:val="000C1896"/>
    <w:rsid w:val="00226D97"/>
    <w:rsid w:val="003919FE"/>
    <w:rsid w:val="00512F19"/>
    <w:rsid w:val="005731A9"/>
    <w:rsid w:val="005A5194"/>
    <w:rsid w:val="006802FD"/>
    <w:rsid w:val="006B14E4"/>
    <w:rsid w:val="00B2753C"/>
    <w:rsid w:val="00B473B6"/>
    <w:rsid w:val="00D00DB5"/>
    <w:rsid w:val="00D71B80"/>
    <w:rsid w:val="00E305D1"/>
    <w:rsid w:val="00EB3C99"/>
    <w:rsid w:val="00EE278B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FD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2FD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2FD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2FD"/>
    <w:pPr>
      <w:keepNext/>
      <w:keepLines/>
      <w:numPr>
        <w:ilvl w:val="3"/>
        <w:numId w:val="3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02FD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02FD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02FD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02FD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02FD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2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2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02F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802F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802FD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02F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802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802F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802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02F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802FD"/>
    <w:rPr>
      <w:rFonts w:ascii="Calibri" w:eastAsia="Times New Roman" w:hAnsi="Calibri" w:cs="Times New Roman"/>
    </w:rPr>
  </w:style>
  <w:style w:type="paragraph" w:customStyle="1" w:styleId="Default">
    <w:name w:val="Default"/>
    <w:rsid w:val="006802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6802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802FD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6802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02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802F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2F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2F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Numberedlevel4text">
    <w:name w:val="Numbered level 4 text"/>
    <w:basedOn w:val="Normal"/>
    <w:rsid w:val="006802FD"/>
    <w:pPr>
      <w:spacing w:after="240" w:line="360" w:lineRule="auto"/>
      <w:ind w:left="2880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ulletindent2">
    <w:name w:val="Bullet indent 2"/>
    <w:basedOn w:val="Normal"/>
    <w:rsid w:val="006802FD"/>
    <w:pPr>
      <w:numPr>
        <w:numId w:val="2"/>
      </w:numPr>
      <w:tabs>
        <w:tab w:val="clear" w:pos="1418"/>
        <w:tab w:val="num" w:pos="360"/>
      </w:tabs>
      <w:spacing w:after="0" w:line="360" w:lineRule="auto"/>
      <w:ind w:left="1702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E9C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customStyle="1" w:styleId="Heading11">
    <w:name w:val="Heading 11"/>
    <w:basedOn w:val="Heading1"/>
    <w:rsid w:val="00FE7E9C"/>
    <w:pPr>
      <w:keepLines w:val="0"/>
      <w:numPr>
        <w:numId w:val="4"/>
      </w:numPr>
      <w:spacing w:before="240" w:after="60"/>
    </w:pPr>
    <w:rPr>
      <w:rFonts w:ascii="Sylfaen" w:eastAsiaTheme="majorEastAsia" w:hAnsi="Sylfaen" w:cs="Sylfaen"/>
      <w:kern w:val="32"/>
      <w:sz w:val="32"/>
      <w:szCs w:val="32"/>
      <w:lang w:val="ka-GE"/>
    </w:rPr>
  </w:style>
  <w:style w:type="paragraph" w:customStyle="1" w:styleId="heading111">
    <w:name w:val="heading 111"/>
    <w:basedOn w:val="Heading11"/>
    <w:link w:val="heading111Char"/>
    <w:qFormat/>
    <w:rsid w:val="00FE7E9C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7E9C"/>
    <w:pPr>
      <w:spacing w:after="100"/>
    </w:pPr>
    <w:rPr>
      <w:rFonts w:ascii="Calibri" w:eastAsia="Calibri" w:hAnsi="Calibri" w:cs="Times New Roman"/>
    </w:rPr>
  </w:style>
  <w:style w:type="character" w:customStyle="1" w:styleId="heading111Char">
    <w:name w:val="heading 111 Char"/>
    <w:basedOn w:val="Heading1Char"/>
    <w:link w:val="heading111"/>
    <w:rsid w:val="00FE7E9C"/>
    <w:rPr>
      <w:rFonts w:ascii="Sylfaen" w:eastAsiaTheme="majorEastAsia" w:hAnsi="Sylfaen" w:cs="Sylfaen"/>
      <w:b/>
      <w:bCs/>
      <w:color w:val="365F91"/>
      <w:kern w:val="32"/>
      <w:sz w:val="28"/>
      <w:szCs w:val="28"/>
      <w:lang w:val="ka-GE"/>
    </w:rPr>
  </w:style>
  <w:style w:type="character" w:styleId="Hyperlink">
    <w:name w:val="Hyperlink"/>
    <w:basedOn w:val="DefaultParagraphFont"/>
    <w:uiPriority w:val="99"/>
    <w:unhideWhenUsed/>
    <w:rsid w:val="00FE7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FD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2FD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2FD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2FD"/>
    <w:pPr>
      <w:keepNext/>
      <w:keepLines/>
      <w:numPr>
        <w:ilvl w:val="3"/>
        <w:numId w:val="3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02FD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02FD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02FD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02FD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02FD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2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2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02F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802F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802FD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802F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802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802F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802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02F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802FD"/>
    <w:rPr>
      <w:rFonts w:ascii="Calibri" w:eastAsia="Times New Roman" w:hAnsi="Calibri" w:cs="Times New Roman"/>
    </w:rPr>
  </w:style>
  <w:style w:type="paragraph" w:customStyle="1" w:styleId="Default">
    <w:name w:val="Default"/>
    <w:rsid w:val="006802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6802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802FD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6802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02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802F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2F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2F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Numberedlevel4text">
    <w:name w:val="Numbered level 4 text"/>
    <w:basedOn w:val="Normal"/>
    <w:rsid w:val="006802FD"/>
    <w:pPr>
      <w:spacing w:after="240" w:line="360" w:lineRule="auto"/>
      <w:ind w:left="2880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ulletindent2">
    <w:name w:val="Bullet indent 2"/>
    <w:basedOn w:val="Normal"/>
    <w:rsid w:val="006802FD"/>
    <w:pPr>
      <w:numPr>
        <w:numId w:val="2"/>
      </w:numPr>
      <w:tabs>
        <w:tab w:val="clear" w:pos="1418"/>
        <w:tab w:val="num" w:pos="360"/>
      </w:tabs>
      <w:spacing w:after="0" w:line="360" w:lineRule="auto"/>
      <w:ind w:left="1702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E9C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customStyle="1" w:styleId="Heading11">
    <w:name w:val="Heading 11"/>
    <w:basedOn w:val="Heading1"/>
    <w:rsid w:val="00FE7E9C"/>
    <w:pPr>
      <w:keepLines w:val="0"/>
      <w:numPr>
        <w:numId w:val="4"/>
      </w:numPr>
      <w:spacing w:before="240" w:after="60"/>
    </w:pPr>
    <w:rPr>
      <w:rFonts w:ascii="Sylfaen" w:eastAsiaTheme="majorEastAsia" w:hAnsi="Sylfaen" w:cs="Sylfaen"/>
      <w:kern w:val="32"/>
      <w:sz w:val="32"/>
      <w:szCs w:val="32"/>
      <w:lang w:val="ka-GE"/>
    </w:rPr>
  </w:style>
  <w:style w:type="paragraph" w:customStyle="1" w:styleId="heading111">
    <w:name w:val="heading 111"/>
    <w:basedOn w:val="Heading11"/>
    <w:link w:val="heading111Char"/>
    <w:qFormat/>
    <w:rsid w:val="00FE7E9C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7E9C"/>
    <w:pPr>
      <w:spacing w:after="100"/>
    </w:pPr>
    <w:rPr>
      <w:rFonts w:ascii="Calibri" w:eastAsia="Calibri" w:hAnsi="Calibri" w:cs="Times New Roman"/>
    </w:rPr>
  </w:style>
  <w:style w:type="character" w:customStyle="1" w:styleId="heading111Char">
    <w:name w:val="heading 111 Char"/>
    <w:basedOn w:val="Heading1Char"/>
    <w:link w:val="heading111"/>
    <w:rsid w:val="00FE7E9C"/>
    <w:rPr>
      <w:rFonts w:ascii="Sylfaen" w:eastAsiaTheme="majorEastAsia" w:hAnsi="Sylfaen" w:cs="Sylfaen"/>
      <w:b/>
      <w:bCs/>
      <w:color w:val="365F91"/>
      <w:kern w:val="32"/>
      <w:sz w:val="28"/>
      <w:szCs w:val="28"/>
      <w:lang w:val="ka-GE"/>
    </w:rPr>
  </w:style>
  <w:style w:type="character" w:styleId="Hyperlink">
    <w:name w:val="Hyperlink"/>
    <w:basedOn w:val="DefaultParagraphFont"/>
    <w:uiPriority w:val="99"/>
    <w:unhideWhenUsed/>
    <w:rsid w:val="00FE7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Nana Kalmakhelidze</cp:lastModifiedBy>
  <cp:revision>2</cp:revision>
  <dcterms:created xsi:type="dcterms:W3CDTF">2018-04-25T11:16:00Z</dcterms:created>
  <dcterms:modified xsi:type="dcterms:W3CDTF">2018-04-25T11:16:00Z</dcterms:modified>
</cp:coreProperties>
</file>